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ОДОБРЕНЫ</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президиумом Совета</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Президенте Российской Федерации</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противодействию коррупции</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 24 от 13 апреля 2011 г.)</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МЕТОДИЧЕСКИЕ РЕКОМЕНДАЦИИ</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 организации работы комиссий по соблюдению требований к служебному поведению федеральных</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государственных служащих и урегулированию</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конфликта интересов (аттестационных комиссий)</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федеральных государственных органах</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Настоящие Методические рекомендации подготовлены в целях обеспечения единообразного применения Указа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образуемых в федеральных государственных органах.</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Правовая основа работы комиссий</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Правовую основу работы комиссий составляют:</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Конвенция ООН против коррупции (ратифицирована Федеральным законом от 8 марта 2006 г. № 40-ФЗ);</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от 25 декабря 2008 г. № 273-ФЗ «О противодействии коррупции»;</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от 27 июля 2004 г. № 79-ФЗ «О государственной гражданской службе Российской Федерации»;</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 Президента Российской Федерации от 18 мая 2009 г.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2010-2011 годы»;</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 821).</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Полномочия комиссий</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tabs>
          <w:tab w:val="left" w:pos="137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tabs>
          <w:tab w:val="left" w:pos="137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В соответствии с пунктом 2 Указа № 821 и пунктом 4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 821 (далее - Положение о комиссиях), полномочия комиссии, образованной в федеральном государственном органе (далее - государственный орган), распространяются на лиц, замещающих должности федеральной государственной гражданской службы в этом органе.</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tabs>
          <w:tab w:val="left" w:pos="128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Комиссия, образованная в федеральной службе (федеральном агентстве), подведомственной (подведомственном) федеральному министерству, рассматривает вопросы в том числе в отношении лиц, замещающих должности заместителя руководителя федеральной службы (федерального агентства), а также руководителя и заместителя руководителя территориального органа федеральной службы (федерального агентства).</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Указом Президента Российской Федерации от 25 февраля 2011 г. № 233.</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ffffff" w:val="clear"/>
        <w:tabs>
          <w:tab w:val="left" w:pos="1339"/>
        </w:tabs>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отношении лиц, замещающих должности федеральной государственной службы, не являющейся федеральной государственной гражданской службой, соответствующие вопросы рассматриваются аттестационными комиссиями.</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ffffff" w:val="clear"/>
        <w:tabs>
          <w:tab w:val="left" w:pos="1339"/>
        </w:tabs>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прикомандированы.</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 же время, поскольку вопросы, отнесенные к компетенции комиссий, могут быть связаны в первую очередь с осуществлением такими лицами 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tabs>
          <w:tab w:val="left" w:pos="16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Основной задачей комиссий является содействие государственным органам:</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осуществлении в государственном органе мер по предупреждению коррупции.</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tabs>
          <w:tab w:val="left" w:pos="141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Основные ограничения и запреты для государственных</w:t>
        <w:br w:type="textWrapping"/>
        <w:t xml:space="preserve">служащих, обязанности государственных служащих установлены:</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Федеральным законом «О противодействии коррупции»;</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Федеральным законом «О государственной гражданской службе Российской Федерации»;</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Федеральным законом от 17 января 1992 г. № 2202-1 «О прокуратуре Российской Федерации»;</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Положением о службе в органах внутренних дел Российской Федерации;</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Федеральным законом от 3 апреля 1995 г. № 40-ФЗ «О федеральной службе безопасности»;</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Федеральным законом от 21 июля 1997 г. № 114-ФЗ «О службе в таможенных органах Российской Федерации»;</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Федеральным законом от 21 июля 1997 г. № 118-ФЗ «О судебных приставах»;</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Федеральным законом от 27 мая 1998 г. № 76-ФЗ «О статусе военнослужащих»;</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Федеральным законом от 28 декабря 2010 г. № 403-ФЗ «О Следственном комитете Российской Федерации»;</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Федеральным законом от 7 февраля 2011 г. № 3-ФЗ «О полиции»;</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Указом Президента Российской Федерации от 5 июня 2003 г. № 613 «О правоохранительной службе в органах по контролю за оборотом наркотических средств и психотропных веществ».</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tabs>
          <w:tab w:val="left" w:pos="133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Одной из обязанностей государственных служащих является обязанность соблюдать требования к служебному поведению. К примеру, на государственных гражданских служащих такая обязанность возложена Федеральным законом «О государственной гражданской службе Российской Федерации» (пункт 11 части 1 статьи 15).</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Указом Президента Российской Федерации от 12 августа 2002 г. № 885 утверждены общие принципы служебного поведения государственных служащих. Данные общие принципы представляют собой основы поведения государственных служащих, которыми им надлежит руководствоваться при исполнении должностных обязанностей.</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примеру, требования к служебному поведению государственных гражданских служащих определены в статье 18 Федерального закона «О государственной гражданской службе Российской Федерации».</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tabs>
          <w:tab w:val="left" w:pos="152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Обязанности государственных служащих установлены и другими федеральными законами, в том числе непосредственно и не регламентирующими прохождение государственной службы.</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Например, Федеральный закон от 2 мая 2006 г. №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tabs>
          <w:tab w:val="left" w:pos="127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Требования о предотвращении и урегулировании конфликта интересов на государственной службе установлены Федеральным законом «О противодействии коррупции», Федеральным законом «О государственной гражданской службе Российской Федерации», другими законодательными актами.</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статьей 11 Федерального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государственного служащего в осуществлении оперативно-разыскных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противодействии коррупции» (статьи 6-7) и Национальной стратегии противодействия коррупции (раздел IV).</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Указом Президента Российской Федерации от 13 апреля 2010 г. № 460.</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Указа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Порядок образования комиссий</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tabs>
          <w:tab w:val="left" w:pos="1267"/>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tabs>
          <w:tab w:val="left" w:pos="1267"/>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В соответствии с пунктом 7 Положения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в положение о комиссии государственного органа рекомендуется включать в том числе нормы, отражающие особенности функционирования комиссии в данном государственном органе.</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tabs>
          <w:tab w:val="left" w:pos="141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В положении о комиссии, утвержденном нормативным правовым актом об образовании комиссии в государственном органе, целесообразно определить состав комиссии по должностям с учетом пунктов 8 и 9 Положения о комиссиях.</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учетом позиции, изложенной в постановлении Президиума Верховного Суда Российской Федерации от 21 июля 2010 г. № 11ПВ10, при утверждении персонального состава комиссии указываются персональные данные всех членов комиссии.</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tabs>
          <w:tab w:val="left" w:pos="130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Согласно пункту 6 Положения о комиссиях руководителем государственного органа определяются порядок формирования и деятельности комиссий территориальных органов государственного органа, а также их состав.</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tabs>
          <w:tab w:val="left" w:pos="130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рассматриваемом нормативном правовом акте может быть предусмотрена возможность осуществления комиссией, созданной в территориальном органе государственного органа, полномочий в отношении нескольких территориальных органов государственного органа.</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Положением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затрагивающие права, свободы и обязанности человека и гражданина.</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Формирование состава комиссии</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tabs>
          <w:tab w:val="left" w:pos="137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tabs>
          <w:tab w:val="left" w:pos="137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Положением о комиссиях предусмотрены обязательная и факультативная части состава комиссии.</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tabs>
          <w:tab w:val="left" w:pos="125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Лица, включаемые в состав комиссии в обязательном порядке, указаны в пункте 8 Положения о комиссиях.</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 В соответствии с подпунктом «а» пункта 8 Положения о комиссиях председателем комиссии является заместитель руководителя государственного органа.</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органа, имеющего высшее юридическое образование.</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tabs>
          <w:tab w:val="left" w:pos="18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 В качестве заместителя председателя комиссии целесообразно определить:</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кадровая служба является самостоятельным структурным подразделением государственного органа - руководителя кадровой службы.</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tabs>
          <w:tab w:val="left" w:pos="155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 Согласно подпункту «а» пункта 8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tabs>
          <w:tab w:val="left" w:pos="2803"/>
          <w:tab w:val="left" w:pos="5314"/>
          <w:tab w:val="left" w:pos="832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содержатся в пунктах 3 и 4 Указа Президента Российской Федерации от 21 сентября 2009 г. № 1065.</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tabs>
          <w:tab w:val="left" w:pos="1637"/>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4.2.4. В подпункте «а» пункта 8 Положения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рекомендуется включать в состав комиссии государственных служащих, привлекавшихся к дисциплинарной и иной ответственности за несоблюдение требований к служебному поведению и (или) требований об урегулировании конфликта интересов.</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tabs>
          <w:tab w:val="left" w:pos="1637"/>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4.2.5. 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 № 1181/888 (в редакции совместного распоряжения от 31 марта 2011 г. № 422/305) представитель Управления Президента Российской Федерации по вопросам государственной службы и кадров включается в состав комиссий, формируемых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абзаце настоящего пункта).</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соответствующего подразделения Аппарата Правительства Российской Федерации включается в состав комиссий, формируемых в федеральных министерствах,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tabs>
          <w:tab w:val="left" w:pos="171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4.2.6. 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tabs>
          <w:tab w:val="left" w:pos="147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4.2.7. Указ № 821 и Положение о комиссиях не предусматривают осуществление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tabs>
          <w:tab w:val="left" w:pos="152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Пунктом 9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 образованного при федеральном органе исполнительной власти в соответствии с частью 2 статьи 20 Федерального закона от 4 апреля 2005 г. № 32-ФЗ «Об Общественной палате Российской Федерации»; представителя общественной организации ветеранов, созданной в государственном органе; представителя профсоюзной организации, действующей в установленном порядке в государственном органе.</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tabs>
          <w:tab w:val="left" w:pos="132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совета, представителя общественной организации ветеранов и представителя профсоюзной организации установлен в пункте 10 Положения о комиссиях.</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осуществлении соответствующей работы следует учитывать, что лицо согласовывается только с той организацией, которую оно представляет.</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Соответствующий запрос может быть направлен как руководителем государственного органа, так и по его поручению заместителем руководителя государственного органа. Запрос должен носить неперсонифицированный характер.</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4.4.1. Процедура согласования представителя Управления Президента Российской Федерации по вопросам государственной службы и кадров,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 № 1181/888 (в редакции совместного распоряжения от 31 марта 2011 г. № 422/305).</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запроса руководителя этого государственного органа (либо по его поручению заместителя руководителя государственного органа). Государственный орган в 10-дневный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 органа.</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Копия правового акта государственного органа об утверждении состава комиссии (об изменении состава комиссии) направляется соответственно в Управление Президента Российской Федерации по вопросам государственной службы и кадров или в Департамент государственной службы и кадров Правительства Российской Федерации в 5-дневный срок со дня издания правового акта.</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Согласно пункту 11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Например, число членов комиссии, не замещающих должности государственной службы в государственном органе, должно составлять:</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2 человек - при общем числе членов комиссии до 8 человек включительно;</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3 человек - при общем числе членов комиссии от 9 до 12 человек включительно;</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4 человек - при общем числе членов комиссии от 13 до 16 человек включительно.</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Основания для проведения заседания комиссии</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tabs>
          <w:tab w:val="left" w:pos="130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Основания для проведения заседания комиссии определены в пункте 16 Положения о комиссиях.</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tabs>
          <w:tab w:val="left" w:pos="130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Согласно подпункту «а» пункта 16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достоверности сведений), материалов проверки, свидетельствующих:</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представлении государственным служащим недостоверных или неполных сведений, предусмотренных подпунктом «а» пункта 1 Положения о проверке достоверности сведений (а именно, представляемых в соответствии с Указом Президента Российской Федерации от 18 мая 2009 г. № 559 федеральными государственными служащими по состоянию на конец отчетного периода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несоблюдении государственным служащим требований к служебному поведению и (или) требований об урегулировании конфликта интересов.</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обеспечения исполнения Указа Президента Российской Федерации от 21 сентября 2009 г. № 1065, и включать в себя:</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Одним из оснований для проведения заседания комиссии в соответствии с абзацем вторым подпункта «б» пункта 16 Положения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(далее - обращение лица о даче согласия).</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данном правовом акте целесообразно закрепить процедуру прохождения обращения лица о даче согласия, например:</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в данном государственном органе;</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целесообразно определить состав сведений, содержащихся в обращения лица о даче согласия (документов, прилагаемых к обращению лица о даче согласия). 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постановлением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Рассмотрению по существу в порядке, установленном Положением о комиссиях, такое обращение подлежит в том государственном органе (тех государственных органах), в котором (которых) 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 принятия соответствующего решения комиссией данного органа, все решения направляются в установленном порядке заявителю.</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tabs>
          <w:tab w:val="left" w:pos="473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5.3.3. Наличие согласия соответствующей комиссии согласно статьям 64 и 84 Трудового кодекса Российской Федерации, пункту 1 части 3 статьи 17 Федерального закона «О государственной гражданской службе Российской Федерации», части 1 статьи 12 Федерального закона «О противодействии коррупции»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подпунктом «з» пункта 3 Указа Президента Российской Федерации от 21 сентября 2009 г. № 1065 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 управления данной организацией и соблюдены ли установленные законодательством правила заключения трудового договора.</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Применительно к настоящим Методическим рекомендациям к такой управленческой деятельности можно отнести:</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мер государственного регулирования в соответствующей сфере, в том числе в отношении заинтересованной организации;</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оказание государственных услуг, получателем которых была заинтересованная организация;</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государственного контроля и надзора в соответствующей сфере, в том числе в отношении заинтересованной организации;</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подпунктом «в» пункта 16 Положения о комиссиях.</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последующем указанные материалы могут быть основанием для применения в установленном порядке мер, предусмотренных частью 3 статьи 12 Федерального закона «О противодействии коррупции» и статьей 84 Трудового кодекса Российской Федерации, а также статьей 19.29 Кодекса Российской Федерации об административных правонарушениях. При этом следует учитывать, что в соответствии со статьями 23.1 и 28.4 Кодекса Российской Федерации об административных правонарушениях дела об административных правонарушениях, предусмотренных статьей 19.29 Кодекса, возбуждаются прокурором, рассматриваются судьей.</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tabs>
          <w:tab w:val="left" w:pos="129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Одним из оснований для проведения заседания комиссии в соответствии с абзацем третьим подпункта «б» пункта 16 Положения о комиссиях является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Рекомендации по порядку рассмотрения в государственном органе такого заявления аналогичны рекомендациям, содержащимся в абзацах третьем - пятом пункта 5.3.1 настоящих Методических рекомендаций.</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tabs>
          <w:tab w:val="left" w:pos="129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В случае, если обращение лица о даче согласия либо заявление, указанное в пункте 5.4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tabs>
          <w:tab w:val="left" w:pos="129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Одним из оснований для проведения заседания комиссии в соответствии с подпунктом «в» пункта 16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законом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частью 2 статьи 14 Федерального закона «О государственной гражданской службе Российской Федерации».</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tabs>
          <w:tab w:val="left" w:pos="1517"/>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5.6.1 Рекомендации по порядку рассмотрения в государственном органе указанного представления аналогичны рекомендациям, содержащимся в абзацах третьем - пятом пункта 5.3.1 настоящих Методических рекомендаций.</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tabs>
          <w:tab w:val="left" w:pos="1517"/>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5.6.2 В случае, если названное представление касается вопросов, подлежащих проверке в соответствии с Указом Президента Российской Федерации от 21 сентября 2009 г. № 1065,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пунктом 4 Положения о проверки достоверности сведений.</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tabs>
          <w:tab w:val="left" w:pos="159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5.6.3. На основании подпункта «в» пункта 16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подпунктом «в» пункта 16 Положения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Согласно пункту 17 Положения о комиссиях комиссия не проводит проверки по фактам нарушения служебной дисциплины.</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К примеру, согласно части 1 статьи 56 Федерального закона «О государственной гражданской службе Российской Федерации» служебная дисциплина на государственной гражданской службе - 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пункта 16 Положения о комиссиях.</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ffffff" w:val="clear"/>
        <w:tabs>
          <w:tab w:val="left" w:pos="2894"/>
          <w:tab w:val="left" w:pos="5131"/>
          <w:tab w:val="left" w:pos="746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служащих) 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Положением о комиссиях.</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Порядок подготовки заседания комиссии</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Пунктом 38 Положения о комиссиях организационно-техническое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Такие функции должны быть отражены в должностном регламенте соответствующего государственного служащего.</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ffffff" w:val="clear"/>
        <w:tabs>
          <w:tab w:val="left" w:pos="13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В соответствии с абзацем первым пункта 18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обеспечения надлежащего исполнения требований Положения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tabs>
          <w:tab w:val="left" w:pos="1248"/>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Председатель комиссии:</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назначает дату заседания комиссии (подпункт «а» пункта 18 Положения о комиссиях);</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(подпункт «а» пункта 13 Положения о комиссиях);</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рассматривает ходатайства о приглашении на заседание комиссии лиц, указанных в подпункте «б» пункта 13 Положения о комиссиях, принимает решение об удовлетворении (об отказе в удовлетворении) указанных ходатайств (подпункт «в» пункта 18 Положения о комиссиях);</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 (подпункт «б» пункта 18 Положения о комиссиях);</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принимает решение о рассмотрении (об отказе в рассмотрении) в ходе заседания комиссии дополнительных материалов (подпункт «в» пункта 18 Положения о комиссиях).</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ffffff" w:val="clear"/>
        <w:tabs>
          <w:tab w:val="left" w:pos="153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 В соответствии с подпунктом «а» пункта 18 Положения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ffffff" w:val="clear"/>
        <w:tabs>
          <w:tab w:val="left" w:pos="178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ffffff" w:val="clear"/>
        <w:tabs>
          <w:tab w:val="left" w:pos="149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 по возможности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ffffff" w:val="clear"/>
        <w:tabs>
          <w:tab w:val="left" w:pos="184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000000" w:rsidDel="00000000" w:rsidP="00000000" w:rsidRDefault="00000000" w:rsidRPr="00000000" w14:paraId="000000BB">
      <w:pPr>
        <w:keepNext w:val="0"/>
        <w:keepLines w:val="0"/>
        <w:widowControl w:val="0"/>
        <w:numPr>
          <w:ilvl w:val="0"/>
          <w:numId w:val="1"/>
        </w:numPr>
        <w:pBdr>
          <w:top w:space="0" w:sz="0" w:val="nil"/>
          <w:left w:space="0" w:sz="0" w:val="nil"/>
          <w:bottom w:space="0" w:sz="0" w:val="nil"/>
          <w:right w:space="0" w:sz="0" w:val="nil"/>
          <w:between w:space="0" w:sz="0" w:val="nil"/>
        </w:pBdr>
        <w:shd w:fill="ffffff" w:val="clear"/>
        <w:tabs>
          <w:tab w:val="left" w:pos="1694"/>
        </w:tabs>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ffffff" w:val="clear"/>
        <w:tabs>
          <w:tab w:val="left" w:pos="1694"/>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6.4.6 В качестве организации, чей представитель может принимать участие в заседании комиссии, целесообразно определять:</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ffffff" w:val="clear"/>
        <w:tabs>
          <w:tab w:val="left" w:pos="160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6.4.7. Решение о приглашении на заседание комиссии лиц, указанных в подпункте «б» пункта 13 Положения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исчислении данного срока целесообразно придерживаться рекомендаций, содержащихся в пункте 6.4.1 настоящих Методических рекомендаций.</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пункте 6.2 настоящих Методических рекомендаций.</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ffffff" w:val="clear"/>
        <w:tabs>
          <w:tab w:val="left" w:pos="129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С учетом требований пунктов 18 и 38 Положения о комиссиях</w:t>
        <w:br w:type="textWrapping"/>
        <w:t xml:space="preserve">секретарь комиссии:</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подпункте «б» пункта 13 Положения о комиссиях, и докладывает указанные материалы председателю комиссии;</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готовит предложения о дате, времени и месте проведения заседания комиссии;</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готовит предложения о приглашении на заседание комиссии лиц, указанных в подпункте «а» пункта 13 Положения о комиссиях;</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ffffff" w:val="clear"/>
        <w:tabs>
          <w:tab w:val="left" w:pos="129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 Такой объем определяется секретарем комиссии по согласованию с председателем комиссии.</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ffffff" w:val="clear"/>
        <w:tabs>
          <w:tab w:val="left" w:pos="13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данном случае целесообразно обратиться к гражданину с просьбой представить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законом «О порядке рассмотрения обращений граждан Российской Федерации».</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дата заседания комиссии назначается в соответствии с общим правилом, установленным в подпункте «а» пункта 18 Положения о комиссиях.</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с учетом установленного частью 1 статьи 12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ffffff" w:val="clear"/>
        <w:tabs>
          <w:tab w:val="left" w:pos="148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 В пункте 19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 комиссия может принять решение о рассмотрении указанного вопроса в отсутствие государственного служащего.</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Проведение заседания комиссии</w:t>
      </w: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ffffff" w:val="clear"/>
        <w:tabs>
          <w:tab w:val="left" w:pos="141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Лица, указанные в пункте 13 Положения о комиссиях, участвуют в заседании комиссии с правом совещательного голоса.</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Представляется, что данные лица могут:</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выступать на заседании комиссии и вносить предложения по вопросам, рассматриваемым на заседании комиссии;</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задавать другим участникам заседания комиссии вопросы в соответствии с повесткой дня и получать на них ответы по существу;</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знакомиться с материалами, рассматриваемыми на заседании комиссии.</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 же время указанные лица не вправе участвовать в голосовании при принятии решения комиссией.</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ffffff" w:val="clear"/>
        <w:tabs>
          <w:tab w:val="left" w:pos="157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Согласно пункту 14 Положения о комиссиях заседание комиссии считается правомочным, если на нем присутствует не менее двух третей от общего числа членов комиссии.</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Например, число членов комиссии, присутствующих на ее заседании, должно составлять:</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4 человек - при общем числе членов комиссии до 6 человек включительно;</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6 человек - при общем числе членов комиссии от 7 до 9 человек включительно;</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8 человек - при общем числе членов комиссии от 10 до 12 человек включительно;</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10 человек - при общем числе членов комиссии от 13 до 15 человек включительно;</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12 человек - при общем числе членов комиссии от 16 до 18 человек включительно.</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ffffff" w:val="clear"/>
        <w:tabs>
          <w:tab w:val="left" w:pos="154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Согласно пункту 15 Положения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ffffff" w:val="clear"/>
        <w:tabs>
          <w:tab w:val="left" w:pos="129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Согласно пункту 21 Положения о комиссиях члены комиссии и лица, участвовавшие в ее заседании, не вправе разглашать сведения, ставшие им известными в ходе работы комиссии.</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Представляется, что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tabs>
          <w:tab w:val="left" w:pos="1411"/>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ffffff" w:val="clear"/>
        <w:tabs>
          <w:tab w:val="left" w:pos="1411"/>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 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8. Решения комиссий</w: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Виды решений, принимаемых комиссиями, определены в пунктах 22-25 Положения о комиссиях.</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недостоверные сведения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неполные сведения - неуказание в справках доходов, имущества, обязательств, иных сведений, подлежащих внесению в справки в соответствии с утвержденной формой (например, неуказание имеющихся иных доходов, недвижимого имущества, транспортных средств, акций, ценных бумаг, обязательств).</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признаются недостоверными и (или) неполными независимо от вины государственного служащего.</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ffffff" w:val="clear"/>
        <w:tabs>
          <w:tab w:val="left" w:pos="163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подпунктом «а» пункта 22 Положения о комиссиях, и требует всестороннего рассмотрения на заседании комиссии.</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ffffff" w:val="clear"/>
        <w:tabs>
          <w:tab w:val="left" w:pos="148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8.2.3. В соответствии с частью 8 статьи 8 Федерального закона «О противодействии коррупции»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применении таких мер ответственности к государственному гражданскому служащему следует руководствоваться пунктами 13 и 14 части 1 статьи 33, пунктом 9 части 1, частью 3 статьи 37 Федерального закона «О государственной гражданской службе Российской Федерации».</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ffffff" w:val="clear"/>
        <w:tabs>
          <w:tab w:val="left" w:pos="128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Согласно подпункту «б» пункта 23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ffffff" w:val="clear"/>
        <w:tabs>
          <w:tab w:val="left" w:pos="203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8.3.1. 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 вреда незначительным).</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ffffff" w:val="clear"/>
        <w:tabs>
          <w:tab w:val="left" w:pos="153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замечание;</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выговор;</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предупреждение о неполном должностном соответствии;</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освобождение от замещаемой должности государственной гражданской службы;</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увольнение с государственной гражданской службы.</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ffffff" w:val="clear"/>
        <w:tabs>
          <w:tab w:val="left" w:pos="1282"/>
          <w:tab w:val="left" w:pos="1853"/>
          <w:tab w:val="left" w:pos="268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объективная причина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уважительная причина - причина, которая обоснованно препятствовала государственному служащему представить необходимые сведения (болезнь, командировка и т.п.).</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ffffff" w:val="clear"/>
        <w:tabs>
          <w:tab w:val="left" w:pos="148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При принятии комиссией решения в соответствии с подпунктом «б» пункта 25 Положения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ffffff" w:val="clear"/>
        <w:tabs>
          <w:tab w:val="left" w:pos="13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Согласно пункту 26 Положения о комиссиях по итогам рассмотрения вопросов, предусмотренных подпунктами «а» и «б» пункта 16 Положения о комиссиях, при наличии к тому оснований комиссия может принять иное, чем предусмотрено пунктами 22 – 25 Положения о комиссиях, решение. Основания и мотивы принятия такого решения должны быть отражены в протоколе заседания комиссии.</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качестве такого решения по итогам рассмотрения вопроса, указанного в абзаце третьем подпункта «а» пункта 16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ffffff" w:val="clear"/>
        <w:tabs>
          <w:tab w:val="left" w:pos="13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 Согласно пункту 27 Положения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ffffff" w:val="clear"/>
        <w:tabs>
          <w:tab w:val="left" w:pos="3034"/>
          <w:tab w:val="left" w:pos="4771"/>
          <w:tab w:val="left" w:pos="748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 и т.п.</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 Согласно пункту 29 Положения о комиссиях решения комиссии по вопросам, указанным в пункте 16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неперсонифицированных бюллетенях.</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ffffff" w:val="clear"/>
        <w:tabs>
          <w:tab w:val="left" w:pos="154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ffffff" w:val="clear"/>
        <w:tabs>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8.10. Требования к содержанию протокола заседания комиссии и его оформлению содержатся в пунктах 30-32 Положения о комиссиях.</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подготовке протокола заседания комиссии также следует руководствоваться положениями, содержащимися в Методических рекомендациях по разработке инструкций по делопроизводству в федеральных органах исполнительной власти, утвержденных приказом Росархива от 23 декабря 2009 г. № 76 (в частности, раздел 3.3.5.4 и приложение № 16).</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ffffff" w:val="clear"/>
        <w:tabs>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ffffff" w:val="clear"/>
        <w:tabs>
          <w:tab w:val="left" w:pos="2294"/>
          <w:tab w:val="left" w:pos="5462"/>
          <w:tab w:val="left" w:pos="659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ffffff" w:val="clear"/>
        <w:tabs>
          <w:tab w:val="left" w:pos="155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8.12. В соответствии с пунктом 37 Положения о комиссиях в личное дело государственного служащего приобщается копия протокола заседания комиссии или выписка из него.</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8.13. При определении срока хранения материалов, связанных с работой комиссии, следует руководствоваться статьями 678 и 680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9. Исполнение решений комиссий</w:t>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ffffff" w:val="clear"/>
        <w:tabs>
          <w:tab w:val="left" w:pos="153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Решение комиссии и обоснование его принятия в обязательном порядке включаются в протокол заседания комиссии (подпункт «и» пункта 31 Положения о комиссиях).</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ffffff" w:val="clear"/>
        <w:tabs>
          <w:tab w:val="left" w:pos="126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Согласно пункту 33 Положения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исчислении данного срока целесообразно придерживаться рекомендаций, содержащихся в пункте 6.4.1 настоящих Методических рекомендаций.</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Копию протокола целесообразно направлять с сопроводительным письмом, подписанным председателем комиссии.</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ffffff" w:val="clear"/>
        <w:tabs>
          <w:tab w:val="left" w:pos="126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В соответствии с пунктом 30 Положения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в соответствии с пунктом 34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ffffff" w:val="clear"/>
        <w:tabs>
          <w:tab w:val="left" w:pos="1397"/>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Согласно пункту 35 Положения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реализации данных полномочий руководителем государственного органа следует учитывать, что в соответствии со статьями 57-59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Решение комиссии, принимаемое по итогам рассмотрения обращения лица о даче согласия, носит обязательный характер (пункт 30 Положения о комиссиях).</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Данное решение не требует принятия каких-либо дополнительных мер со стороны руководителя государственного органа.</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 Информирование о работе комиссии</w:t>
      </w: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ffffff" w:val="clear"/>
        <w:tabs>
          <w:tab w:val="left" w:pos="175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публикацию в средствах массовой информации сообщений об образовании комиссии и порядке ее работы;</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размещение на Интернет-сайте государственного органа информации об образовании комиссии и порядке ее работы;</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в государственном органе телефонной «горячей линии»;</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размещение на информационных стендах в помещениях государственного органа сведений о работе комиссии;</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с государственными служащими государственного органа информационно-обучающих мероприятий;</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информирования граждан и организаций о результатах работы комиссии.</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ffffff" w:val="clear"/>
        <w:tabs>
          <w:tab w:val="left" w:pos="14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статьей 14 Федерального закона «Об обеспечении доступа к информации о деятельности органов государственной власти и органов местного самоуправления».</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в соответствии с пунктом 46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 953), порядок работы комиссии, включая порядок подачи заявления для рассмотрения на комиссии, должен быть размещен на Интернет-сайте федерального органа исполнительной власти в течение 5 рабочих дней со дня утверждения порядка.</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ffffff" w:val="clear"/>
        <w:tabs>
          <w:tab w:val="left" w:pos="236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Интернет-сайте государственного органа в разделе, посвященном 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сообщение об образовании комиссии;</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тексты нормативных правовых актов в соответствующей сфере (Федеральный закон «О противодействии коррупции», Федеральный закон «О государственной гражданской службе Российской Федерации», Указ № 821, 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2010-2011 годы», Указ Президента Российской Федерации от 12 августа 2002 г. № 885 «Об утверждении общих принципов служебного поведения государственных служащих»);</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 нормативного правового акта об образовании комиссии в государственном органе;</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 комиссии (в актуальной редакции);</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 о комиссии (в актуальной редакции);</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почтовый адрес и адрес электронной почты, по которым принимается информация;</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ffffff" w:val="clear"/>
        <w:tabs>
          <w:tab w:val="left" w:pos="1627"/>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 Информация об «Интернет-приемной» и телефонной «горячей линии» может распространяться через печатные средства массовой информации, доводиться до сведения государственных служащих государственного органа, размещаться на Интернет-сайте государственного органа и на информационных стендах в помещениях государственного органа.</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ffffff" w:val="clear"/>
        <w:tabs>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определении состава сведений, размещаемых на информационном стенде, целесообразно руководствоваться пунктом 10.3 настоящих Методических рекомендаций.</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ffffff" w:val="clear"/>
        <w:tabs>
          <w:tab w:val="left" w:pos="1517"/>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ffffff" w:val="clear"/>
        <w:tabs>
          <w:tab w:val="left" w:pos="139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 Информирование о работе комиссии должно осуществляться с учетом требований федерального законодательства о государственной  тайне, Федерального закона от 27 июля 2006 г. № 152-ФЗ «О персональных данных», Указа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а также с учетом установленного в пункте 21 Положения о комиссиях запрета на разглашение сведений, ставших известными членам комиссии в ходе ее работы.</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 Особенности рассмотрения аттестационными комиссиями вопросов, связанных с соблюдением требований к служебному поведению государственных служащих и урегулированию конфликта интересов</w:t>
      </w: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Указом № 821 (пункт 2) установлено, что в МВД России, МЧС России, Минобороны России, ГФС России, СВР России, ФСБ России, ФСКН России, ФСО России, ФМС России, ФСИН России, Спецстрое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пункте 16 Положения о комиссиях, в отношении государственных служащих, не являющихся федеральными государственными гражданскими служащими, рассматриваются аттестационными комиссиями.</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ffffff" w:val="clear"/>
        <w:tabs>
          <w:tab w:val="left" w:pos="160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Организации рассмотрения соответствующих вопросов аттестационными комиссиями посвящены пункты 39-42 Положения о комиссиях.</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ffffff" w:val="clear"/>
        <w:tabs>
          <w:tab w:val="left" w:pos="2587"/>
          <w:tab w:val="left" w:pos="5304"/>
          <w:tab w:val="left" w:pos="759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согласно пункту 42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Положением о комиссиях,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этим не рекомендуется совмещать рассмотрение на одном 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Члены аттестационной комиссии, включенные в нее для рассмотрения вопросов, определенных Положением о комиссиях, не приглашаются для рассмотрения других вопросов, отнесенных к компетенции аттестационных комиссий соответствующих органов.</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ffffff" w:val="clear"/>
        <w:tabs>
          <w:tab w:val="left" w:pos="1387"/>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В случае установления аттестационной комиссией признаков дисциплинарного проступка в действиях (бездействии) государственного служащего, иных оснований привлечения государственного служащего к дисциплинарной ответственности информация об этом согласно пункту 35 Положения о комиссиях представляется</w:t>
        <w:tab/>
        <w:t xml:space="preserve">руководителю государственного органа, уполномоченному им должностному лицу или иному должностному лицу в соответствии с его компетенцией (например, командиру воинской части)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(служебной проверки, расследования) в порядке, установленном нормативными правовыми актами Российской Федерации.</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пунктом 36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части 1 статьи 2.5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частью 2 указанной статьи, государственные служащие из числа военнослужащих, а также имеющих специальные звания сотрудников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sectPr>
      <w:pgSz w:h="16834" w:w="11909"/>
      <w:pgMar w:bottom="851" w:top="1134" w:left="1134" w:right="8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6.4.%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decimal"/>
      <w:lvlText w:val="2.%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